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51E58" w14:textId="77777777" w:rsidR="00F53AA0" w:rsidRDefault="008B0B7D">
      <w:pPr>
        <w:ind w:leftChars="-250" w:left="-525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 w:rsidR="006441A8">
        <w:rPr>
          <w:rFonts w:ascii="宋体" w:hAnsi="宋体" w:hint="eastAsia"/>
          <w:b/>
          <w:sz w:val="36"/>
          <w:szCs w:val="36"/>
        </w:rPr>
        <w:t>21</w:t>
      </w:r>
      <w:r>
        <w:rPr>
          <w:rFonts w:ascii="宋体" w:hAnsi="宋体" w:hint="eastAsia"/>
          <w:b/>
          <w:sz w:val="36"/>
          <w:szCs w:val="36"/>
        </w:rPr>
        <w:t>年硕士研究生入学考试</w:t>
      </w:r>
      <w:r>
        <w:rPr>
          <w:rFonts w:ascii="宋体" w:hAnsi="宋体" w:hint="eastAsia"/>
          <w:b/>
          <w:color w:val="FF0000"/>
          <w:sz w:val="36"/>
          <w:szCs w:val="36"/>
        </w:rPr>
        <w:t>初试科目</w:t>
      </w:r>
      <w:r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31"/>
        <w:gridCol w:w="1620"/>
        <w:gridCol w:w="3969"/>
      </w:tblGrid>
      <w:tr w:rsidR="00F53AA0" w14:paraId="39983E41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D967" w14:textId="77777777" w:rsidR="00F53AA0" w:rsidRDefault="008B0B7D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308A" w14:textId="77777777" w:rsidR="00F53AA0" w:rsidRDefault="008B0B7D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C2B" w14:textId="77777777" w:rsidR="00F53AA0" w:rsidRDefault="008B0B7D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D5E3" w14:textId="77777777" w:rsidR="00F53AA0" w:rsidRDefault="008B0B7D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9D413E" w14:paraId="5D382F86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6D2" w14:textId="77777777" w:rsidR="009D413E" w:rsidRDefault="009D413E" w:rsidP="000A592B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药学院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CA6" w14:textId="77777777" w:rsidR="009D413E" w:rsidRDefault="009D413E" w:rsidP="000A592B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105500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54A" w14:textId="77777777" w:rsidR="009D413E" w:rsidRDefault="009D413E">
            <w:pPr>
              <w:wordWrap w:val="0"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药学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9836" w14:textId="66E1A1A9" w:rsidR="009D413E" w:rsidRDefault="00875489">
            <w:pPr>
              <w:wordWrap w:val="0"/>
              <w:spacing w:line="288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349</w:t>
            </w:r>
            <w:r w:rsidR="009D413E">
              <w:rPr>
                <w:rFonts w:ascii="宋体" w:hAnsi="宋体" w:hint="eastAsia"/>
                <w:b/>
                <w:sz w:val="24"/>
              </w:rPr>
              <w:t>药学综合</w:t>
            </w:r>
          </w:p>
        </w:tc>
      </w:tr>
      <w:tr w:rsidR="00F53AA0" w14:paraId="0051E8D0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4B3" w14:textId="77777777" w:rsidR="00F53AA0" w:rsidRDefault="008B0B7D">
            <w:pPr>
              <w:wordWrap w:val="0"/>
              <w:spacing w:line="288" w:lineRule="auto"/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一、考试内容</w:t>
            </w:r>
          </w:p>
          <w:p w14:paraId="191AFBE2" w14:textId="77777777" w:rsidR="00F53AA0" w:rsidRDefault="00F53AA0">
            <w:pPr>
              <w:rPr>
                <w:rFonts w:ascii="宋体" w:hAnsi="宋体"/>
                <w:sz w:val="24"/>
              </w:rPr>
            </w:pP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D34F" w14:textId="77777777" w:rsidR="00F53AA0" w:rsidRDefault="008B0B7D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（一）分析化学部分</w:t>
            </w:r>
          </w:p>
          <w:p w14:paraId="4DE05F1B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．定量分析化学概论及分析化学中的数据处理：</w:t>
            </w:r>
            <w:r>
              <w:rPr>
                <w:rFonts w:ascii="宋体" w:hAnsi="宋体" w:hint="eastAsia"/>
                <w:sz w:val="18"/>
                <w:szCs w:val="18"/>
              </w:rPr>
              <w:t>系统误差、随机误差的产生原因和减免方法；准确度、精密度及其相互关系。有效数字、有效数字位数确定、有效数字的运算法则和修约规则；绝对误差、相对误差、偏差、平均偏差、相对平均偏差、标准偏差、相对标准偏差的表示方法及其计算；平均值的置信区间计算；少量数据的统计处理；提高分析结果准确度方法。滴定分析法的分类及其对滴定反应的要求；直接法配制标准溶液的过程及物质的条件；间接法配制标准溶液的过程、基准物的条件及常用基准物。物质的量浓度和滴定度的表示及其计算；滴定分析结果的计算。</w:t>
            </w:r>
          </w:p>
          <w:p w14:paraId="33AD6DBE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2．酸碱滴定法：</w:t>
            </w:r>
            <w:r>
              <w:rPr>
                <w:rFonts w:ascii="宋体" w:hAnsi="宋体" w:hint="eastAsia"/>
                <w:sz w:val="18"/>
                <w:szCs w:val="18"/>
              </w:rPr>
              <w:t>酸碱质子理论中的酸碱定义、酸碱反应实质、酸碱离解常数，质子条件、物料平衡、电荷平衡。溶液的平衡浓度、分析浓度（总浓度）及表示，分布分数的定义和计算。一元弱酸（碱）、多元弱酸（碱）、两性物质、缓冲溶液</w:t>
            </w:r>
            <w:r>
              <w:rPr>
                <w:rFonts w:ascii="宋体" w:hAnsi="宋体"/>
                <w:sz w:val="18"/>
                <w:szCs w:val="18"/>
              </w:rPr>
              <w:t>pH</w:t>
            </w:r>
            <w:r>
              <w:rPr>
                <w:rFonts w:ascii="宋体" w:hAnsi="宋体" w:hint="eastAsia"/>
                <w:sz w:val="18"/>
                <w:szCs w:val="18"/>
              </w:rPr>
              <w:t>值的计算。酸碱缓冲溶液的定义、缓冲范围、缓冲指数、缓冲容量等内容。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滴定突跃及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影响滴定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突跃大小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的因素及一元弱酸（碱）的准确滴定条件；指示剂的变色原理、理论变色范围、理论变色点和酚酞、甲基橙的实际变色范围和颜色变化情况；指示剂的选择原则。酸碱滴定分析结果的计算。</w:t>
            </w:r>
          </w:p>
          <w:p w14:paraId="1F57F12F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3．络合滴定法:</w:t>
            </w:r>
            <w:r>
              <w:rPr>
                <w:rFonts w:ascii="宋体" w:hAnsi="宋体" w:hint="eastAsia"/>
                <w:sz w:val="18"/>
                <w:szCs w:val="18"/>
              </w:rPr>
              <w:t>基本概念：络合反应、络合剂、络合物、中心离子、配位体、配位数、稳定常数、条件稳定常数、累计稳定常数、酸效应系数和副反应系数；络合反应准确滴定条件；金属指示剂的作用原理、条件及常用金属指示剂；混合离子的分别滴定。</w:t>
            </w:r>
            <w:r>
              <w:rPr>
                <w:rFonts w:ascii="宋体" w:hAnsi="宋体"/>
                <w:sz w:val="18"/>
                <w:szCs w:val="18"/>
              </w:rPr>
              <w:t>EDTA</w:t>
            </w:r>
            <w:r>
              <w:rPr>
                <w:rFonts w:ascii="宋体" w:hAnsi="宋体" w:hint="eastAsia"/>
                <w:sz w:val="18"/>
                <w:szCs w:val="18"/>
              </w:rPr>
              <w:t>与金属离子的络合反应特点。影响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滴定突跃的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因素及计量点时各种组分浓度计算，络合滴定的方式。</w:t>
            </w:r>
          </w:p>
          <w:p w14:paraId="0BCC65C7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4．氧化还原滴定法:</w:t>
            </w:r>
            <w:r>
              <w:rPr>
                <w:rFonts w:ascii="宋体" w:hAnsi="宋体" w:hint="eastAsia"/>
                <w:sz w:val="18"/>
                <w:szCs w:val="18"/>
              </w:rPr>
              <w:t>氧化还原反应速度及其影响因素；典型氧化还原反应滴定曲线的化学计量点和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滴定突跃的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电极电位计算；氧化还原滴定的指示剂的种类、作用原理及选择原则；氧化还原预处理。常用的氧化还原滴定法及计算。</w:t>
            </w:r>
          </w:p>
          <w:p w14:paraId="3B6944A2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5．重量分析法及沉淀滴定法:</w:t>
            </w:r>
            <w:r>
              <w:rPr>
                <w:rFonts w:ascii="宋体" w:hAnsi="宋体" w:hint="eastAsia"/>
                <w:sz w:val="18"/>
                <w:szCs w:val="18"/>
              </w:rPr>
              <w:t>条件溶度积常数的意义；影响沉淀溶解度的因素；影响沉淀纯度的各种因素和提高沉淀纯度的措施；重量分析对沉淀形式和称量形式的要求；沉淀的形成过程和沉淀条件对与沉淀类型的影响。</w:t>
            </w:r>
          </w:p>
          <w:p w14:paraId="507ABD50" w14:textId="77777777" w:rsidR="00F53AA0" w:rsidRDefault="008B0B7D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6、吸光光度法:</w:t>
            </w:r>
            <w:r>
              <w:rPr>
                <w:rFonts w:ascii="宋体" w:hAnsi="宋体" w:hint="eastAsia"/>
                <w:sz w:val="18"/>
                <w:szCs w:val="18"/>
              </w:rPr>
              <w:t>显色反应及有关影响因素、光度测量误差和测量条件的选择；示差分光光度法。</w:t>
            </w:r>
          </w:p>
          <w:p w14:paraId="0FBD8453" w14:textId="77777777" w:rsidR="00F53AA0" w:rsidRDefault="008B0B7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（二）有机化学</w:t>
            </w:r>
            <w:r>
              <w:rPr>
                <w:rFonts w:ascii="宋体" w:hAnsi="宋体"/>
                <w:b/>
                <w:szCs w:val="21"/>
              </w:rPr>
              <w:t>部分</w:t>
            </w:r>
          </w:p>
          <w:p w14:paraId="748A2AF5" w14:textId="77777777" w:rsidR="00F53AA0" w:rsidRDefault="008B0B7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有机化学反应及其反应原理、反应条件、影响因素和应用范围；有机化合物的命名；有机化合物的结构和异构；有机化合物的物理性质和变化规律；有机物的鉴定，有机混合物的分离和分析方法；以及各种有机化合物的制备合成方法等。</w:t>
            </w:r>
          </w:p>
          <w:p w14:paraId="739EEBCB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 亲电加成反应历程、烯烃的稳定性规律、碳正离子的稳定性次序及碳正离子的重排、</w:t>
            </w:r>
            <w:r>
              <w:rPr>
                <w:rFonts w:ascii="宋体" w:hAnsi="宋体"/>
                <w:sz w:val="18"/>
                <w:szCs w:val="18"/>
              </w:rPr>
              <w:t>Markovnikov</w:t>
            </w:r>
            <w:r>
              <w:rPr>
                <w:rFonts w:ascii="宋体" w:hAnsi="宋体" w:hint="eastAsia"/>
                <w:sz w:val="18"/>
                <w:szCs w:val="18"/>
              </w:rPr>
              <w:t>规律、过氧化物效应、</w:t>
            </w:r>
            <w:r>
              <w:rPr>
                <w:rFonts w:ascii="宋体" w:hAnsi="宋体" w:hint="eastAsia"/>
                <w:sz w:val="18"/>
                <w:szCs w:val="18"/>
              </w:rPr>
              <w:sym w:font="Symbol" w:char="F061"/>
            </w:r>
            <w:r>
              <w:rPr>
                <w:rFonts w:ascii="宋体" w:hAnsi="宋体" w:hint="eastAsia"/>
                <w:sz w:val="18"/>
                <w:szCs w:val="18"/>
              </w:rPr>
              <w:t>-氢的活泼性，以及</w:t>
            </w:r>
            <w:r>
              <w:rPr>
                <w:rFonts w:ascii="宋体" w:hAnsi="宋体" w:hint="eastAsia"/>
                <w:sz w:val="18"/>
                <w:szCs w:val="18"/>
              </w:rPr>
              <w:sym w:font="Symbol" w:char="F070"/>
            </w:r>
            <w:r>
              <w:rPr>
                <w:rFonts w:ascii="宋体" w:hAnsi="宋体" w:hint="eastAsia"/>
                <w:sz w:val="18"/>
                <w:szCs w:val="18"/>
              </w:rPr>
              <w:t>-键的性质，诱导效应、超共轭效应等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  <w:p w14:paraId="32C8AF14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3.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亲核取代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反应（SN1、SN2）反应及其影响因素、消除反应(E1、E2反应)及其与SN1、SN2反应的竞争、消除反应的</w:t>
            </w:r>
            <w:proofErr w:type="spellStart"/>
            <w:r>
              <w:rPr>
                <w:rFonts w:ascii="宋体" w:hAnsi="宋体"/>
                <w:sz w:val="18"/>
                <w:szCs w:val="18"/>
              </w:rPr>
              <w:t>Saytzeff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规则、Grignard试剂的制备及性质等。</w:t>
            </w:r>
          </w:p>
          <w:p w14:paraId="57F14E22" w14:textId="77777777" w:rsidR="00F53AA0" w:rsidRDefault="008B0B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 Grignard试剂制备醇的方法、醚制备的Williamson合成法；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羰基亲核加成反应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（与氰化氢加成、与亚硫酸氢鈉加成、与醇加成、与格利雅试剂、加成与氨的衍生物反应）及其规律、</w:t>
            </w:r>
            <w:r>
              <w:rPr>
                <w:rFonts w:ascii="宋体" w:hAnsi="宋体" w:hint="eastAsia"/>
                <w:sz w:val="18"/>
                <w:szCs w:val="18"/>
              </w:rPr>
              <w:sym w:font="Symbol" w:char="F061"/>
            </w:r>
            <w:r>
              <w:rPr>
                <w:rFonts w:ascii="宋体" w:hAnsi="宋体" w:hint="eastAsia"/>
                <w:sz w:val="18"/>
                <w:szCs w:val="18"/>
              </w:rPr>
              <w:t>-氢原子活泼性及酮-烯醇互变异构，以及羟醛缩合反应、卤化反应和卤仿反应</w:t>
            </w:r>
            <w:proofErr w:type="spellStart"/>
            <w:r>
              <w:rPr>
                <w:rFonts w:ascii="宋体" w:hAnsi="宋体"/>
                <w:sz w:val="18"/>
                <w:szCs w:val="18"/>
              </w:rPr>
              <w:t>Clemmensen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还原、</w:t>
            </w:r>
            <w:r>
              <w:rPr>
                <w:rFonts w:ascii="宋体" w:hAnsi="宋体"/>
                <w:sz w:val="18"/>
                <w:szCs w:val="18"/>
              </w:rPr>
              <w:t>Wolff-</w:t>
            </w:r>
            <w:proofErr w:type="spellStart"/>
            <w:r>
              <w:rPr>
                <w:rFonts w:ascii="宋体" w:hAnsi="宋体"/>
                <w:sz w:val="18"/>
                <w:szCs w:val="18"/>
              </w:rPr>
              <w:t>Kishner</w:t>
            </w:r>
            <w:proofErr w:type="spellEnd"/>
            <w:r>
              <w:rPr>
                <w:rFonts w:ascii="宋体" w:hAnsi="宋体"/>
                <w:sz w:val="18"/>
                <w:szCs w:val="18"/>
              </w:rPr>
              <w:t>-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黄鸣龙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反应、</w:t>
            </w:r>
            <w:r>
              <w:rPr>
                <w:rFonts w:ascii="宋体" w:hAnsi="宋体"/>
                <w:sz w:val="18"/>
                <w:szCs w:val="18"/>
              </w:rPr>
              <w:t>Cannizzaro</w:t>
            </w:r>
            <w:r>
              <w:rPr>
                <w:rFonts w:ascii="宋体" w:hAnsi="宋体" w:hint="eastAsia"/>
                <w:sz w:val="18"/>
                <w:szCs w:val="18"/>
              </w:rPr>
              <w:t>反应；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季铵碱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的热消除及Hofmann规律，酯化及水解、酯交换反应、Hofmann酰胺降级反应，羧酸的酸性及其影响因素、诱导效应、</w:t>
            </w:r>
            <w:proofErr w:type="spellStart"/>
            <w:r>
              <w:rPr>
                <w:rFonts w:ascii="宋体" w:hAnsi="宋体" w:hint="eastAsia"/>
                <w:sz w:val="18"/>
                <w:szCs w:val="18"/>
              </w:rPr>
              <w:t>pKa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值等；胺的碱</w:t>
            </w:r>
            <w:r>
              <w:rPr>
                <w:rFonts w:ascii="宋体" w:hAnsi="宋体" w:hint="eastAsia"/>
                <w:sz w:val="18"/>
                <w:szCs w:val="18"/>
              </w:rPr>
              <w:lastRenderedPageBreak/>
              <w:t>性及其影响因素；丙二酸酯、乙酰乙酸乙酯在有机合成上的应用，重氮化反应、重氮盐的性质及其在合成上的应用。</w:t>
            </w:r>
          </w:p>
          <w:p w14:paraId="5F4F4D36" w14:textId="77777777" w:rsidR="00F53AA0" w:rsidRDefault="008B0B7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 用红外光谱、质谱、核磁共振谱分析、推导简单有机化合物的结构。</w:t>
            </w:r>
          </w:p>
        </w:tc>
      </w:tr>
      <w:tr w:rsidR="00F53AA0" w14:paraId="5E983420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F05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二、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考试形式与试卷结构</w:t>
            </w:r>
          </w:p>
          <w:p w14:paraId="4C7BEA25" w14:textId="77777777" w:rsidR="00F53AA0" w:rsidRDefault="00F53AA0">
            <w:pPr>
              <w:rPr>
                <w:rFonts w:ascii="宋体" w:hAnsi="宋体"/>
                <w:sz w:val="24"/>
              </w:rPr>
            </w:pP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61CF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（一）试卷成绩及考试时间</w:t>
            </w:r>
          </w:p>
          <w:p w14:paraId="49FF3045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本试卷满分为300分，考试时间为180分钟。</w:t>
            </w:r>
          </w:p>
          <w:p w14:paraId="5DEB9A63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（二）答题方式</w:t>
            </w:r>
          </w:p>
          <w:p w14:paraId="328EA135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答题方式为闭卷、笔试。</w:t>
            </w:r>
          </w:p>
          <w:p w14:paraId="24CB2E8B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（三）试卷内容结构</w:t>
            </w:r>
          </w:p>
          <w:p w14:paraId="21C55E7E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有机化学：约150分</w:t>
            </w:r>
          </w:p>
          <w:p w14:paraId="2BC6D301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分析化学：约150分</w:t>
            </w:r>
          </w:p>
          <w:p w14:paraId="05998EEE" w14:textId="77777777" w:rsidR="00F53AA0" w:rsidRDefault="008B0B7D">
            <w:pPr>
              <w:pStyle w:val="a3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（四）试卷题型结构</w:t>
            </w:r>
          </w:p>
          <w:p w14:paraId="6F0CF176" w14:textId="77777777" w:rsidR="00F53AA0" w:rsidRDefault="008B0B7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选择题（约60分）；填空题（约60分）；简答题（约80分）；计算题（约40分）；分析论述题（约60分）。</w:t>
            </w:r>
          </w:p>
        </w:tc>
      </w:tr>
    </w:tbl>
    <w:p w14:paraId="10149DFF" w14:textId="77777777" w:rsidR="00F53AA0" w:rsidRDefault="00F53AA0">
      <w:pPr>
        <w:spacing w:line="360" w:lineRule="exact"/>
        <w:rPr>
          <w:rFonts w:ascii="宋体" w:hAnsi="宋体"/>
          <w:sz w:val="24"/>
        </w:rPr>
      </w:pPr>
    </w:p>
    <w:p w14:paraId="01FE0879" w14:textId="77777777" w:rsidR="00F53AA0" w:rsidRDefault="008B0B7D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学位点意见：                           招生单位意见：</w:t>
      </w:r>
    </w:p>
    <w:p w14:paraId="0997AC5A" w14:textId="77777777" w:rsidR="00F53AA0" w:rsidRDefault="00F53AA0">
      <w:pPr>
        <w:spacing w:line="360" w:lineRule="exact"/>
        <w:rPr>
          <w:rFonts w:ascii="宋体" w:hAnsi="宋体"/>
          <w:sz w:val="24"/>
        </w:rPr>
      </w:pPr>
    </w:p>
    <w:p w14:paraId="1ABBBA7D" w14:textId="77777777" w:rsidR="00F53AA0" w:rsidRDefault="008B0B7D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学位点负责人签字：                     招生单位负责人签字（盖章）：</w:t>
      </w:r>
    </w:p>
    <w:p w14:paraId="2EEE03F3" w14:textId="77777777" w:rsidR="00F53AA0" w:rsidRDefault="00F53AA0">
      <w:pPr>
        <w:spacing w:beforeLines="50" w:before="156" w:line="360" w:lineRule="auto"/>
        <w:ind w:leftChars="136" w:left="989" w:hangingChars="293" w:hanging="703"/>
        <w:rPr>
          <w:rFonts w:ascii="宋体" w:hAnsi="宋体"/>
          <w:sz w:val="24"/>
        </w:rPr>
      </w:pPr>
    </w:p>
    <w:p w14:paraId="57A721F3" w14:textId="03230AD0" w:rsidR="009D413E" w:rsidRDefault="009D413E" w:rsidP="009D413E">
      <w:pPr>
        <w:widowControl/>
        <w:jc w:val="left"/>
        <w:rPr>
          <w:rFonts w:ascii="宋体" w:hAnsi="宋体"/>
          <w:b/>
          <w:sz w:val="24"/>
        </w:rPr>
      </w:pPr>
    </w:p>
    <w:sectPr w:rsidR="009D41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9C3F8" w14:textId="77777777" w:rsidR="00440838" w:rsidRDefault="00440838" w:rsidP="009D413E">
      <w:r>
        <w:separator/>
      </w:r>
    </w:p>
  </w:endnote>
  <w:endnote w:type="continuationSeparator" w:id="0">
    <w:p w14:paraId="3AF5D99D" w14:textId="77777777" w:rsidR="00440838" w:rsidRDefault="00440838" w:rsidP="009D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7AD18" w14:textId="77777777" w:rsidR="00440838" w:rsidRDefault="00440838" w:rsidP="009D413E">
      <w:r>
        <w:separator/>
      </w:r>
    </w:p>
  </w:footnote>
  <w:footnote w:type="continuationSeparator" w:id="0">
    <w:p w14:paraId="3ECC3961" w14:textId="77777777" w:rsidR="00440838" w:rsidRDefault="00440838" w:rsidP="009D4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0000000C"/>
    <w:multiLevelType w:val="singleLevel"/>
    <w:tmpl w:val="0000000C"/>
    <w:lvl w:ilvl="0">
      <w:start w:val="3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8B4D457A-8875-460A-956F-7FC70C143F3A}"/>
    <w:docVar w:name="KY_MEDREF_VERSION" w:val="3"/>
  </w:docVars>
  <w:rsids>
    <w:rsidRoot w:val="00EB5744"/>
    <w:rsid w:val="00344596"/>
    <w:rsid w:val="00440838"/>
    <w:rsid w:val="006441A8"/>
    <w:rsid w:val="00875489"/>
    <w:rsid w:val="008B0B7D"/>
    <w:rsid w:val="009D413E"/>
    <w:rsid w:val="00C37A18"/>
    <w:rsid w:val="00D1010C"/>
    <w:rsid w:val="00DA081E"/>
    <w:rsid w:val="00EB5744"/>
    <w:rsid w:val="00F53AA0"/>
    <w:rsid w:val="384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A2EB9"/>
  <w15:docId w15:val="{77B609C9-BA22-42E8-AD39-2E6E40E37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D4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D413E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D4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D413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zengyf</dc:creator>
  <cp:lastModifiedBy>z cj</cp:lastModifiedBy>
  <cp:revision>6</cp:revision>
  <dcterms:created xsi:type="dcterms:W3CDTF">2018-07-03T03:51:00Z</dcterms:created>
  <dcterms:modified xsi:type="dcterms:W3CDTF">2020-09-11T09:22:00Z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